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rFonts w:ascii="Calibri" w:cs="Calibri" w:eastAsia="Calibri" w:hAnsi="Calibri"/>
          <w:b/>
          <w:bCs/>
          <w:color w:val="8A6A03"/>
          <w:sz w:val="28"/>
          <w:szCs w:val="28"/>
        </w:rPr>
        <w:t xml:space="preserve">[ORGANIZATION NAME]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F172A"/>
          <w:sz w:val="52"/>
          <w:szCs w:val="52"/>
        </w:rPr>
        <w:t xml:space="preserve">REQUEST FOR PROPOSAL</w:t>
      </w:r>
    </w:p>
    <w:p>
      <w:pPr>
        <w:spacing w:after="500"/>
      </w:pPr>
      <w:r>
        <w:rPr>
          <w:rFonts w:ascii="Calibri" w:cs="Calibri" w:eastAsia="Calibri" w:hAnsi="Calibri"/>
          <w:color w:val="475569"/>
          <w:sz w:val="30"/>
          <w:szCs w:val="30"/>
        </w:rPr>
        <w:t xml:space="preserve">Supply, Implementation, and Support of a Cloud Management Platform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146"/>
      </w:tblGrid>
      <w:tr>
        <w:tc>
          <w:tcPr>
            <w:tcW w:type="dxa" w:w="3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RFP reference</w:t>
            </w:r>
          </w:p>
        </w:tc>
        <w:tc>
          <w:tcPr>
            <w:tcW w:type="dxa" w:w="61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[REF-NO]</w:t>
            </w:r>
          </w:p>
        </w:tc>
      </w:tr>
      <w:tr>
        <w:tc>
          <w:tcPr>
            <w:tcW w:type="dxa" w:w="3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Date of issue</w:t>
            </w:r>
          </w:p>
        </w:tc>
        <w:tc>
          <w:tcPr>
            <w:tcW w:type="dxa" w:w="61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[DATE]</w:t>
            </w:r>
          </w:p>
        </w:tc>
      </w:tr>
      <w:tr>
        <w:tc>
          <w:tcPr>
            <w:tcW w:type="dxa" w:w="3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Pre-bid queries by</w:t>
            </w:r>
          </w:p>
        </w:tc>
        <w:tc>
          <w:tcPr>
            <w:tcW w:type="dxa" w:w="61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[DATE]</w:t>
            </w:r>
          </w:p>
        </w:tc>
      </w:tr>
      <w:tr>
        <w:tc>
          <w:tcPr>
            <w:tcW w:type="dxa" w:w="3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Proposal submission deadline</w:t>
            </w:r>
          </w:p>
        </w:tc>
        <w:tc>
          <w:tcPr>
            <w:tcW w:type="dxa" w:w="61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[DATE, TIME, TIMEZONE]</w:t>
            </w:r>
          </w:p>
        </w:tc>
      </w:tr>
      <w:tr>
        <w:tc>
          <w:tcPr>
            <w:tcW w:type="dxa" w:w="3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Contact</w:t>
            </w:r>
          </w:p>
        </w:tc>
        <w:tc>
          <w:tcPr>
            <w:tcW w:type="dxa" w:w="61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[NAME, TITLE, EMAIL]</w:t>
            </w:r>
          </w:p>
        </w:tc>
      </w:tr>
    </w:tbl>
    <w:p>
      <w:pPr>
        <w:spacing w:before="7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TEMPLATE NOTE (delete before issue): bracketed [values] must be completed by the issuing organization. Annexure B should be completed before publication so bidders can size their proposals.</w:t>
      </w:r>
    </w:p>
    <w:p>
      <w:pPr>
        <w:sectPr>
          <w:pgSz w:w="11906" w:h="16838" w:orient="portrait"/>
          <w:pgMar w:top="1727" w:right="1440" w:bottom="1440" w:left="1440" w:header="708" w:footer="708" w:gutter="0"/>
          <w:pgNumType/>
          <w:docGrid w:linePitch="360"/>
        </w:sectPr>
      </w:pPr>
    </w:p>
    <w:sdt>
      <w:sdtPr>
        <w:alias w:val="Table of 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20" w:line="276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Right-click the table above and choose “Update Field” after editing the document.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Introduction and Background</w:t>
      </w:r>
    </w:p>
    <w:p>
      <w:pPr>
        <w:spacing w:after="12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[ORGANIZATION NAME] (“the Purchaser”) invites proposals from qualified vendors for the supply, implementation, and support of a Cloud Management Platform (“CMP”, “the Platform”). The Platform will enable the Purchaser to operate cloud services on its own infrastructure, including multi-tenant self-service provisioning, tenant isolation, metering and billing, and day-2 operations, under the Purchaser's brand and within the Purchaser's data centres.</w:t>
      </w:r>
    </w:p>
    <w:p>
      <w:pPr>
        <w:spacing w:after="12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[Replace this paragraph with organisational background: who the Purchaser is, the infrastructure estate operated today, the services intended to be offered, and the regulatory context — e.g., financial-services or public-sector data-residency obligations.]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1.1 Objectives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Launch self-service cloud services (virtual servers and related network, storage, and data-protection services) on Purchaser-operated infrastructure within [8] weeks of contract signature.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Provide complete commercial operations — usage metering, rating, invoicing, payment handling, and collections — without dependence on external SaaS services.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Enforce strong tenant isolation suitable for regulated customers, with auditable evidence.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Retain full data sovereignty: all platform, tenant, and billing data remains within [COUNTRY].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Operate under the Purchaser's brand end-to-end [and support additional sub-brands/resellers, if applicable].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Scope of Supply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Software licences for the Cloud Management Platform and all modules required to meet the requirements herein.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Implementation services: installation, configuration, network planning, branding, catalogue and pricing setup, and production go-live.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Knowledge transfer and training for administrator and operations personnel.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Support and maintenance for an initial term of [3] years, with options to renew.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Optional: migration services from the Purchaser's existing platform [state platform, e.g., VMware vCloud Director].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Out of scope: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supply of server, storage, or network hardware; hypervisor/infrastructure licences [state if required]; public-cloud services.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Definitions and Abbreviations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546"/>
      </w:tblGrid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CMP / the Platform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Cloud Management Platform solution offered by the Vendor.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Operator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Purchaser's staff administering the Platform and the cloud business.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Tenant / Organization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customer entity consuming services through the Platform, with its own users and resources.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Reseller / Sub-brand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An optional intermediary selling the Purchaser's cloud services under its own brand (where applicable).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M (Mandatory)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Requirement must be met at proposal time or committed to before go-live; non-compliance may disqualify the proposal.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D (Desirable)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Requirement is scored but not disqualifying.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HA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High availability. SPOF: single point of failure. RPO/RTO: recovery point/time objective.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BYOL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Bring your own licence (e.g., Microsoft Windows Server licensing supplied by the tenant or Purchaser).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Instructions to Bidders and Compliance Convention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For every numbered requirement, the Vendor must state exactly one of: “C” (Complies today, in the shipping product), “PC” (Partially complies — explain the gap and the committed date), or “NC” (Does not comply).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Every “C” or “PC” must cite evidence: product documentation section, screenshot annex, or a live-demonstration commitment. Unsupported claims will be treated as “NC”.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Any “NC” or undated “PC” against a Mandatory (M) requirement may result in disqualification at the Purchaser's discretion.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Claims will be verified in a proof-of-concept (Section 12). Material misrepresentation is grounds for rejection at any stage.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Proposals must follow the response format in Section 13 and include the completed Compliance Matrix (Annexure A).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Questions must be submitted in writing by [DATE]; answers will be circulated to all bidders. Proposal deadline: [DATE, TIME, TIMEZONE].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Functional Requirements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F172A"/>
          <w:sz w:val="21"/>
          <w:szCs w:val="21"/>
        </w:rPr>
        <w:t xml:space="preserve">Priorities: </w:t>
      </w:r>
      <w:r>
        <w:rPr>
          <w:rFonts w:ascii="Calibri" w:cs="Calibri" w:eastAsia="Calibri" w:hAnsi="Calibri"/>
          <w:color w:val="334155"/>
          <w:sz w:val="21"/>
          <w:szCs w:val="21"/>
        </w:rPr>
        <w:t xml:space="preserve">M = Mandatory, D = Desirable. Where a requirement is marked “(SP)” it applies to service-provider deployments; enterprise purchasers may mark it Not Applicable.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5.1 Platform Architecture and Deployment (FR-A)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FR-A-01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Platform must be fully self-hosted on Purchaser infrastructure. No cloud/SaaS control plane, external service, or vendor-side dependency may be required for normal operation.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FR-A-02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All components must be deployable within the Purchaser's data centres. No tenant, configuration, or billing data may leave the environment except through explicitly enabled, documented integrations.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FR-A-03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high-availability production topology must be available with no single point of failure: redundant application tier, redundant workers, database with synchronous replication, and a replicated secrets store.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FR-A-04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small-footprint evaluation deployment (single VM acceptable) must exist, with a documented upgrade path to the HA topology without reinstallation or data loss.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FR-A-05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Fully air-gapped operation must be supported, including offline licence activation and offline update media.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FR-A-06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Documented sizing guidance must be provided for at least three scale bands (evaluation, small production, full HA).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FR-A-07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Backup and restore of the Platform itself (database, configuration, secrets) must be documented and tested, with point-in-time recovery for the platform database.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FR-A-08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guided installer with automated pre-flight checks must be provided; services-assisted installation must be achievable within [5] business days.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FR-A-09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Rolling platform upgrades must not interrupt running tenant workloads; a documented rollback procedure must exist for every release.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FR-A-10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Release artifacts (images/packages) must be cryptographically signed and verifiable by the Purchaser.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5.2 Infrastructure Integration (FR-B)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FR-B-01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Platform must natively integrate with the Purchaser's virtualization estate. The Vendor must state supported platforms and versions, including [Nutanix AHV/Prism Central] and/or [KVM-based platforms — state distribution, e.g., Proxmox VE], as applicable.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FR-B-02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Integration must use current, vendor-supported API generations of the underlying infrastructure. The Vendor must describe its policy for tracking infrastructure API deprecations (e.g., migration ahead of announced end-of-life).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FR-B-03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single Platform instance must manage multiple clusters and multiple sites, presented to customers as operator-defined regions/availability zones.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FR-B-04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Platform must discover per-cluster capabilities (versions, licensed features, GPU presence) and gracefully gate features per region rather than failing.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FR-B-05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single instance should support heterogeneous hypervisors concurrently (e.g., one region on Nutanix, another on KVM).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FR-B-06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Tenant self-service must not require tenant access to the underlying virtualization manager. Where console access is offered to enterprise tenants, it must be via SSO scoped strictly to that tenant's resources.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FR-B-07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GPU inventory must be discoverable and GPU-enabled server offerings supported, including per-GPU pricing.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5.3 Multi-Tenancy, Isolation, and Governance (FR-C)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FR-C-01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tenancy model must support: Operator → Organization (tenant) → Users, with role-based access at each level. (SP) The model must additionally support a Reseller level between Operator and Organization.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FR-C-02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Tenant workloads must be isolated at the network layer by default: per-tenant network segments with stateful, default-deny-inbound enforcement (e.g., microsegmentation). Isolation must not rely solely on the perimeter firewall.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FR-C-03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Platform must produce an auditable tenant-isolation report (policies in force, change history) suitable for presentation to auditors and regulated customers.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FR-C-04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Per-tenant resource quotas (vCPU, RAM, storage, and optionally public IPs) must be enforceable, with operator-defined guardrails and an approval workflow for customer-requested changes.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FR-C-05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Tenant lifecycle management must include: trial/demo tenants with automatic expiry, trial-to-production conversion with approval, suspension/resumption, and decommissioning with a configurable data-retention window.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FR-C-06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Destructive operations (tenant decommission at minimum) must require dual administrator approval (four-eyes principle), with a complete audit trail.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FR-C-07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per-tenant activity/audit feed must be visible to the tenant for their own actions and to the Operator across tenants.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FR-C-08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An enterprise tenancy model must be supported: dedicated projects/virtual private networks per tenant with quota enforcement and SSO into the infrastructure console scoped to the tenant.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FR-C-09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shared-infrastructure retail model must be supported concurrently, with strict cross-tenant separation and no tenant visibility of the infrastructure layer.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FR-C-10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Existing virtualization projects/VMs must be importable into Platform tenancy (brownfield adoption) without re-provisioning.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5.4 Self-Service Portal and Service Catalogue (FR-D)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customer self-service portal must be provided, fully operable in current versions of Chrome, Edge, Firefox, and Safari, and usable on mobile devices.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Server provisioning must be a guided wizard of at most [5] steps from plan selection to a running server.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OS image catalogue must include at least [15] operator-curated images across major Linux families and Microsoft Windows Server (BYOL supported). The Operator must be able to add, disable, and version images without Vendor involvement.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one-click application catalogue of at least [10] entries (e.g., WordPress, databases, container runtime) must be provided, with automated installation and a visible readiness status. The Operator must be able to author additional catalogue entries without Vendor code changes.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Full server lifecycle self-service: start, stop, reboot, reinstall, vertical resize (CPU/RAM/disk), clone, and delete, with appropriate confirmations for destructive actions.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Snapshots must be supported on demand and on schedule, with self-service restore.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browser-based console (graphical and/or serial) must be provided for out-of-band access, token-gated, without exposing the virtualization manager to tenants.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FR-D-08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SSH key management must be provided (including an in-browser generation option), and administrator/root password reset must work without network access to the guest (guest-agent based).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FR-D-09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Per-server firewall self-service: tenants manage inbound rules; enforcement is at the network layer with default-deny inbound; platform management access must be preserved and visibly locked.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FR-D-10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Tenants must be able to create private templates from their servers and provision from them.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FR-D-11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Vertical autoscale (temporary burst with automatic return to plan size) should be supported with tenant-defined policies.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FR-D-12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Threshold alerting (CPU, memory, disk, network, availability) with email notification is mandatory; webhook/Slack/Teams delivery is desirable.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FR-D-13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per-server and per-organization activity feed must record all self-service actions.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FR-D-14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An in-portal, operator-editable help centre should be provided.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5.5 Network Services (FR-E)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FR-E-01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Both models must be available and the Vendor must state how each is delivered: (a) VPC-style private networking with per-tenant subnets on shared infrastructure; (b) dedicated VLAN-based networks for enterprise tenants.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FR-E-02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Public IP self-service: allocation and release of public addresses (1:1 NAT/floating IP) from Operator-managed pools, priced as an add-on.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FR-E-03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Layer-4 load balancer must be offered self-service, with health checks and multiple backend servers, fronted by a public IP.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FR-E-04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Site-to-site VPN must be offered self-service, supporting IPsec/IKEv2 at minimum (WireGuard desirable), including downloadable per-vendor configuration for common firewalls.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FR-E-05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Operator must manage IP, VLAN, and subnet pools in the Platform, with utilisation visibility and low-pool alerts.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FR-E-06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Platform's network layout (management CIDRs, tenant supernets, transit networks, public blocks, VLAN ranges) must be configuration, adopted from the Purchaser's addressing plan at installation — not fixed in the product.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FR-E-07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Per-plan bandwidth/QoS policies (port speed caps, transfer allowances) should be definable and reportable.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5.6 Storage and Data Protection (FR-F)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FR-F-01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Block volume self-service: create, attach (hot-attach where supported), detach, resize, and move volumes between servers; metered into billing.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FR-F-02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Backup policies must be productised by the Operator: frequency, retention, and storage target configurable and priceable (e.g., a free weekly tier and a paid daily tier).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FR-F-03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Backup replication to a second site/availability zone must be supported for disaster recovery.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FR-F-04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Self-service restore from backups/snapshots must be provided, with an optional operator-approval gate.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FR-F-05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S3-compatible object storage should be offered with per-tenant buckets, access keys, quotas, an in-portal browser, and usage-based billing.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FR-F-06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All storage consumption (volumes, backups, object storage where offered) must flow into metering and billing.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5.7 White-Labelling, Multi-Brand, and Resellers (SP) (FR-G)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FR-G-01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customer-facing surface must be fully brandable by the Operator: logo, colour palette, product naming, email templates, and legal documents (terms of service, acceptable use), without Vendor involvement.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FR-G-02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Custom domains per brand must be supported with automated TLS certificate issuance and renewal.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FR-G-03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Vendor's brand must be absent from all tenant-facing surfaces (portal, emails, invoices, status pages) unless the Operator chooses otherwise.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FR-G-04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reseller hierarchy should be supported: resellers with their own brand, their own customer set (with strict data separation), and their own retail price books constrained by Operator-defined wholesale floors.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FR-G-05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Reseller settlement should be supported in both models: commission (Operator collects) and wholesale (reseller collects and owes wholesale), with monthly statements.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FR-G-06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Notifications and the status page (where offered) must carry the correct brand per tenant.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5.8 Metering, Billing, and Monetisation (FR-H)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Usage metering must cover at minimum: compute (plan or resource-based), block storage, backups, public IPs, load balancers, and object storage where offered. The Vendor must list all metered dimensions.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rating engine must support subscription plans (monthly/yearly with configurable discount) and pro-rated partial periods; committed resource-pool (quota) billing is desirable.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Price books must be effective-dated: price changes apply from a date forward, never retroactively to running services without explicit Operator action; existing subscriptions retain their price history.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Invoicing must support tax-inclusive and tax-exclusive presentation, configurable tax rates and invoice numbering per jurisdiction, and proforma plus final invoices.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Payment handling must include a manual/bank-transfer workflow with operator approval, and a gateway integration framework. The Vendor must list supported payment gateways and the effort model for adding a regional gateway.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Collections must be automated and configurable: reminder schedule, grace period, suspension of services for non-payment, and automatic resumption on payment.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Revenue reporting must include monthly recurring revenue, run-rate, and per-product breakdowns, with CSV export.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FR-H-08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Accounting export (CSV at minimum; API desirable) must be provided for the Purchaser's finance system [state system if known].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FR-H-09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bridge mode should allow the Platform to provision and meter while an existing billing system (e.g., WHMCS) invoices, for transition periods.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FR-H-10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billing currency must be configurable per instance. The Vendor must state its multi-currency capability and roadmap.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FR-H-11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Monetary calculations must be exact (integer/decimal arithmetic); re-rating of an open period must be possible, idempotent, and audited.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5.9 Identity and Access Management (FR-I)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FR-I-01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Customer and staff sign-in must use standards-based SSO (OIDC); infrastructure-console SSO for enterprise tenants must use SAML or OIDC, scoped to the tenant.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FR-I-02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Multi-factor authentication must be enforceable for all users; phishing-resistant factors (passkeys/WebAuthn) are desirable.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FR-I-03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Role-based access control must include at minimum tenant roles (admin, operator, viewer) and Operator staff roles with configurable permission sets.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FR-I-04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If the Platform bundles an identity provider, it must be lifecycle-managed by the Platform (installation, upgrades, high availability) and not require separate specialist administration.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FR-I-05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Enterprise tenants should be able to federate their own identity provider (e.g., Microsoft Entra ID, Okta) for portal sign-in, scoped to their organization.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FR-I-06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SCIM-based user provisioning should be supported for enterprise tenants.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FR-I-07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Administrative sessions must support hardening controls: session timeout, and IP allow-listing for staff access.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FR-I-08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Every state-changing action (tenant and staff) must be recorded in an append-only audit trail with actor, timestamp, and before/after context where applicable.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5.10 Monitoring, Observability, and Service Levels (FR-J)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FR-J-01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Per-server metrics (CPU, memory, disk, network) must be collected at [5]-minute resolution or better, with at least [90] days of history, and charted for tenants.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FR-J-02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Operator must have capacity views: sold versus physical capacity per region, oversubscription tracking against configurable policy, and headroom projections.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FR-J-03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platform-health view for the Operator must cover all Platform components with actionable status.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FR-J-04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Per-tenant service-level tracking must be provided: uptime measurement and monthly attainment reporting against the offered SLA; an SLA-credit workflow is desirable.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FR-J-05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Operator alerting for platform and capacity events must be provided (email at minimum; webhook/Slack/Teams desirable).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FR-J-06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All platform and audit logs must be exportable to the Purchaser's SIEM (syslog or HTTP).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FR-J-07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public status page should be provided, brandable per brand, with operator-managed incidents and component states.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5.11 AI-Assisted Operations (Desirable Section) (FR-K)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FR-K-01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natural-language assistant should be available to tenants for common operations (e.g., firewall changes, snapshots, power actions) and platform questions.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FR-K-02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If any AI-assisted change capability is offered: every AI-proposed change must require explicit human approval before execution, and every AI action must be fully audited. (Mandatory only where AI features are offered.)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FR-K-03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An operator-scope assistant should support capacity queries, anomaly triage, and configuration drafting.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FR-K-04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An on-premises/local model option should be available so that no tenant or operational data leaves the environment; where data-sovereignty regulation applies to the Purchaser, this becomes mandatory.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FR-K-05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All AI features must be individually disableable by the Operator. (Mandatory only where AI features are offered.)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5.12 APIs and Extensibility (FR-L)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FR-L-01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documented, versioned REST API must cover customer and operator operations. The Vendor must state the coverage relative to portal functionality and provide the OpenAPI specification.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FR-L-02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API authentication must use organization-scoped tokens governed by the same RBAC as interactive users, with issuance and revocation audit.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FR-L-03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Terraform provider and a command-line interface should be available.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FR-L-04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Signed webhooks must be available for lifecycle and billing events, with retry and delivery logs.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Non-Functional Requirements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NFR-01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Concurrent usage: at least [2,000] concurrent portal users on the reference HA sizing with p95 page-interactive time ≤ [2] seconds. State tested figures and method.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NFR-02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Scale ceilings per instance: at least [1,000] organizations and [5,000] managed servers. State tested or production-evidenced ceilings.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NFR-03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Provisioning time: a standard Linux server ready (network up, login possible) within [10] minutes of order at the 95th percentile.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NFR-04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Platform resilience on the HA topology: RPO ≈ 0 for the platform database (synchronous replication) and RTO ≤ [15] minutes for any single-component failure.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NFR-05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Platform availability of at least [99.9]% monthly, excluding announced maintenance windows; measurement method must be stated.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NFR-06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Time zone, number, and date formats must be configurable for the Purchaser's locale.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NFR-07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localisation framework should exist for portal languages beyond English [state required languages].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NFR-08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Platform must remain fully operable during loss of any one availability zone/site hosting redundant components (state behaviour and constraints).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Security Requirements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SEC-01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Public-facing surfaces must be protected by a web application firewall (or documented equivalent controls) with an OWASP-aligned ruleset.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SEC-02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TLS 1.2 minimum (1.3 preferred) on all external interfaces; encrypted service-to-service and database connections; automated certificate management.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SEC-03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Secrets (credentials, API tokens, signing keys) must reside in a dedicated secrets store with machine identities — never in configuration files or environment defaults.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SEC-04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Platform data must be encrypted at rest; tenant-workload encryption options at the infrastructure layer must be stated.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SEC-05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Every release must ship with a software bill of materials (SBOM) and signed artifacts verifiable offline.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SEC-06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documented vulnerability-management process must exist: security advisories to customers, CVE response SLAs by severity, and a coordinated disclosure policy.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SEC-07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Independent penetration-test evidence for the Platform within the last [12] months must be available (summary shareable under NDA), and the Vendor must permit the Purchaser's own testing of its deployment.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SEC-08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Authentication hardening: brute-force lockout, secure session management, and modern security headers on all web surfaces.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SEC-09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Administrative access must be role-separated; integration hooks for privileged-access-management (session MFA, IP restrictions) must be available.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SEC-10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Audit logs must be append-only/tamper-evident with configurable retention of at least [1] year online.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Data Sovereignty and Compliance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SOV-01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Platform must operate with zero mandatory external network dependencies at runtime (updates and licensing may use offline channels).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SOV-02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Any product telemetry must be disabled by default or strictly opt-in, aggregate-only, with a fully documented schema the Purchaser can inspect.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SOV-03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All tenant, configuration, metering, and billing data must reside in [COUNTRY], including backups.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SOV-04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Platform must produce compliance evidence on demand: user-access reviews, tenant-isolation attestation, audit-log exports — suitable for [PCI DSS / ISO 27001 / local regulation] assessments of the Purchaser.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SOV-05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Vendor should hold ISO 27001 and/or SOC 2 certification for its development and support operations, or present a dated roadmap.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9. Vendor Qualification Requirements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VQ-01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Platform must be in production operation for at least [12] months at one or more operators (the Vendor's own cloud operation is acceptable and should be stated), at a scale of at least [100] organizations or [300] managed servers. Provide reference details.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VQ-02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At least [1] reference customer or reference operation must be available for a call or site visit.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VQ-03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Vendor must demonstrate the Platform live during evaluation, including a witnessed installation (or pre-staged environment walkthrough) and the acceptance scenario of Section 12.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VQ-04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12-month product roadmap must be shared (under NDA if required), with a named product contact.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VQ-05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 software escrow or equivalent business-continuity provision must be offered.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VQ-06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Support presence and response capability in [COUNTRY/REGION] must be stated, including language coverage and time-zone alignment.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VQ-07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Certification or validation with the underlying infrastructure vendor(s) (e.g., Nutanix Ready or equivalent) is desirable.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10. Licensing and Commercial Requirements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LIC-01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licence metric must be transparent and verifiable by the Purchaser without vendor telemetry (e.g., per managed node). State the metric and what does and does not count.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LIC-02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Licensing must not impose per-tenant, per-VM, or per-user charges within the licensed capacity: growing the customer base on the same infrastructure must not increase licence cost.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LIC-03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Licence enforcement must never disrupt running tenant workloads. On expiry: a grace period of at least [30] days with warnings, after which only new provisioning may be blocked.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LIC-04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Security updates on supported versions, data export, and tenant decommissioning must function regardless of licence state.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LIC-05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Offline licence activation must be available for air-gapped or restricted environments.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LIC-06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The proposal must disclose the full price list: licence by edition/tier, volume structure, all add-on modules required to meet the requirements marked “C”, implementation services, training, and support tiers for [3] years. No requirement marked “C” may depend on an unpriced component.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LIC-07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Multi-year pricing options with price protection must be offered.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LIC-08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Commercial models aligned to the Purchaser's growth (e.g., banded expansion pricing) are desirable; describe options.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11. Implementation, Training, and Documentation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7050"/>
        <w:gridCol w:w="154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ID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IMP-01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Provide an implementation plan with phases, milestones, responsibilities (RACI), and a timeline achieving production go-live within [8] weeks of contract signature.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IMP-02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Implementation must include: platform installation on Purchaser infrastructure, adoption of the Purchaser's network addressing plan, branding configuration, image and application catalogue setup, price-book configuration, and at least [2] pilot tenants.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IMP-03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Administrator training (≥ [2] days) and operations training (≥ [2] days) must be delivered with materials the Purchaser may retain and reuse.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IMP-04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Documentation must include: architecture and administration guides, operational runbooks (backup/restore, upgrade, incident), API reference, and white-label-ready tenant help content.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M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8A6A03"/>
                <w:sz w:val="18"/>
                <w:szCs w:val="18"/>
              </w:rPr>
              <w:t xml:space="preserve">IMP-05</w:t>
            </w:r>
          </w:p>
        </w:tc>
        <w:tc>
          <w:tcPr>
            <w:tcW w:type="dxa" w:w="70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Migration services from [existing platform] should be offered; describe methodology, tooling, and tenant-communication approach.</w:t>
            </w:r>
          </w:p>
        </w:tc>
        <w:tc>
          <w:tcPr>
            <w:tcW w:type="dxa" w:w="1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A6A03"/>
                <w:sz w:val="20"/>
                <w:szCs w:val="20"/>
              </w:rPr>
              <w:t xml:space="preserve">D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12. Acceptance Criteria</w:t>
      </w:r>
    </w:p>
    <w:p>
      <w:pPr>
        <w:spacing w:after="12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Production acceptance will be granted when the following scripted scenario completes end-to-end on the Purchaser's production environment, witnessed by the Purchaser, without vendor engineers executing steps on behalf of trained Purchaser staff: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Create a tenant organization with quota; invite and activate a tenant user with MFA.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Tenant provisions a Linux server via the wizard within the NFR provisioning time; connects via browser console and SSH.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Tenant adds a firewall rule and verifies enforcement (allowed port reachable, all others refused).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Tenant takes a snapshot, deletes a file, restores, and verifies content.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Attach and grow a block volume; verify in-guest.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Generate an invoice for the period including plan charges and add-ons; record a payment; verify receipt and status.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Simulate non-payment: verify reminder, grace, suspension, and resume-on-payment behaviour.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Suspend and decommission a test tenant with dual approval; verify data-retention behaviour and audit trail.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Verify platform HA: controlled failover of the database leader and one application node with no tenant-workload impact and portal recovery within the stated RTO.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Verify audit and SIEM export for all of the above.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13. Evaluation Methodology</w:t>
      </w:r>
    </w:p>
    <w:p>
      <w:pPr>
        <w:spacing w:after="12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Proposals passing mandatory-compliance screening will be scored as follows [adjust weights to procurement policy]: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500"/>
        <w:gridCol w:w="3046"/>
      </w:tblGrid>
      <w:tr>
        <w:trPr>
          <w:tblHeader/>
        </w:trPr>
        <w:tc>
          <w:tcPr>
            <w:tcW w:type="dxa" w:w="5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Criterion</w:t>
            </w:r>
          </w:p>
        </w:tc>
        <w:tc>
          <w:tcPr>
            <w:tcW w:type="dxa" w:w="1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Weight</w:t>
            </w:r>
          </w:p>
        </w:tc>
        <w:tc>
          <w:tcPr>
            <w:tcW w:type="dxa" w:w="30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Assessed from</w:t>
            </w:r>
          </w:p>
        </w:tc>
      </w:tr>
      <w:tr>
        <w:tc>
          <w:tcPr>
            <w:tcW w:type="dxa" w:w="5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Functional compliance (Sections 5–6)</w:t>
            </w:r>
          </w:p>
        </w:tc>
        <w:tc>
          <w:tcPr>
            <w:tcW w:type="dxa" w:w="1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40%</w:t>
            </w:r>
          </w:p>
        </w:tc>
        <w:tc>
          <w:tcPr>
            <w:tcW w:type="dxa" w:w="30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4748B"/>
                <w:sz w:val="19"/>
                <w:szCs w:val="19"/>
              </w:rPr>
              <w:t xml:space="preserve">Compliance matrix + demonstration</w:t>
            </w:r>
          </w:p>
        </w:tc>
      </w:tr>
      <w:tr>
        <w:tc>
          <w:tcPr>
            <w:tcW w:type="dxa" w:w="5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Architecture, security, and sovereignty (Sections 7–8)</w:t>
            </w:r>
          </w:p>
        </w:tc>
        <w:tc>
          <w:tcPr>
            <w:tcW w:type="dxa" w:w="1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20%</w:t>
            </w:r>
          </w:p>
        </w:tc>
        <w:tc>
          <w:tcPr>
            <w:tcW w:type="dxa" w:w="30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4748B"/>
                <w:sz w:val="19"/>
                <w:szCs w:val="19"/>
              </w:rPr>
              <w:t xml:space="preserve">Documentation + architecture session</w:t>
            </w:r>
          </w:p>
        </w:tc>
      </w:tr>
      <w:tr>
        <w:tc>
          <w:tcPr>
            <w:tcW w:type="dxa" w:w="5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Vendor capability and references (Section 9)</w:t>
            </w:r>
          </w:p>
        </w:tc>
        <w:tc>
          <w:tcPr>
            <w:tcW w:type="dxa" w:w="1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15%</w:t>
            </w:r>
          </w:p>
        </w:tc>
        <w:tc>
          <w:tcPr>
            <w:tcW w:type="dxa" w:w="30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4748B"/>
                <w:sz w:val="19"/>
                <w:szCs w:val="19"/>
              </w:rPr>
              <w:t xml:space="preserve">References, production evidence, roadmap</w:t>
            </w:r>
          </w:p>
        </w:tc>
      </w:tr>
      <w:tr>
        <w:tc>
          <w:tcPr>
            <w:tcW w:type="dxa" w:w="5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Implementation and support (Sections 11–12, support offer)</w:t>
            </w:r>
          </w:p>
        </w:tc>
        <w:tc>
          <w:tcPr>
            <w:tcW w:type="dxa" w:w="1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10%</w:t>
            </w:r>
          </w:p>
        </w:tc>
        <w:tc>
          <w:tcPr>
            <w:tcW w:type="dxa" w:w="30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4748B"/>
                <w:sz w:val="19"/>
                <w:szCs w:val="19"/>
              </w:rPr>
              <w:t xml:space="preserve">Plan quality, SLAs, local presence</w:t>
            </w:r>
          </w:p>
        </w:tc>
      </w:tr>
      <w:tr>
        <w:tc>
          <w:tcPr>
            <w:tcW w:type="dxa" w:w="5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Commercial (Section 10, TCO over [3] years)</w:t>
            </w:r>
          </w:p>
        </w:tc>
        <w:tc>
          <w:tcPr>
            <w:tcW w:type="dxa" w:w="1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15%</w:t>
            </w:r>
          </w:p>
        </w:tc>
        <w:tc>
          <w:tcPr>
            <w:tcW w:type="dxa" w:w="30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64748B"/>
                <w:sz w:val="19"/>
                <w:szCs w:val="19"/>
              </w:rPr>
              <w:t xml:space="preserve">Financial proposal</w:t>
            </w:r>
          </w:p>
        </w:tc>
      </w:tr>
    </w:tbl>
    <w:p>
      <w:pPr>
        <w:spacing w:before="120"/>
      </w:pPr>
      <w:r>
        <w:rPr>
          <w:rFonts w:ascii="Calibri" w:cs="Calibri" w:eastAsia="Calibri" w:hAnsi="Calibri"/>
          <w:i/>
          <w:iCs/>
          <w:color w:val="334155"/>
          <w:sz w:val="21"/>
          <w:szCs w:val="21"/>
        </w:rPr>
        <w:t xml:space="preserve">A proof-of-concept on Purchaser or vendor-provided infrastructure may be required of the top-ranked bidder(s) before award, executing the Section 12 scenario.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14. Proposal Response Format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Volume 1 — Executive summary and company profile.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Volume 2 — Completed Compliance Matrix (Annexure A) with evidence references.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Volume 3 — Technical proposal: architecture (with diagrams), deployment topology proposed for the Purchaser, security posture, integration approach.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Volume 4 — Implementation plan, training plan, and support offer with SLA matrix.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Volume 5 — References and production evidence.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Volume 6 — Financial proposal [separate sealed envelope if required by procurement policy].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Annexure A — Compliance Matrix Template</w:t>
      </w:r>
    </w:p>
    <w:p>
      <w:pPr>
        <w:spacing w:after="120" w:line="276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Reproduce for every requirement ID in Sections 5–11. Compliance codes: C (complies), PC (partial — date committed), NC (does not comply).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4400"/>
        <w:gridCol w:w="900"/>
        <w:gridCol w:w="900"/>
        <w:gridCol w:w="2396"/>
      </w:tblGrid>
      <w:tr>
        <w:trPr>
          <w:tblHeader/>
        </w:trP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Req. ID</w:t>
            </w:r>
          </w:p>
        </w:tc>
        <w:tc>
          <w:tcPr>
            <w:tcW w:type="dxa" w:w="44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Requirement (abbreviated)</w:t>
            </w:r>
          </w:p>
        </w:tc>
        <w:tc>
          <w:tcPr>
            <w:tcW w:type="dxa" w:w="9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Priority</w:t>
            </w:r>
          </w:p>
        </w:tc>
        <w:tc>
          <w:tcPr>
            <w:tcW w:type="dxa" w:w="9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C/PC/NC</w:t>
            </w:r>
          </w:p>
        </w:tc>
        <w:tc>
          <w:tcPr>
            <w:tcW w:type="dxa" w:w="239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8"/>
                <w:szCs w:val="18"/>
              </w:rPr>
              <w:t xml:space="preserve">Evidence / notes / committed date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44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239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44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239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15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44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  <w:tc>
          <w:tcPr>
            <w:tcW w:type="dxa" w:w="239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 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Annexure B — Current Environment Questionnaire (completed by Purchaser before issue)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546"/>
      </w:tblGrid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Virtualization platform and version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[e.g., Nutanix AOS/PC x.y · Proxmox VE x.y]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Clusters / nodes / sites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[counts and locations]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Storage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[HCI / SAN / object storage present]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Network model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[VLAN plan, public IP blocks, firewall vendor]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Identity provider(s)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[e.g., Active Directory / Entra ID]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Existing billing / ERP system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[e.g., WHMCS, SAP, none]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Expected tenants and servers — year 1 / year 3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[figures]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Billing currency and tax regime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[e.g., NPR + 13% VAT]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Compliance regimes in scope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[e.g., central-bank guidelines, ISO 27001, PCI DSS]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Service-provider features (white-label / resellers) required?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[yes/no]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Annexure C — Sizing and Growth Worksheet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546"/>
      </w:tblGrid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Regions / availability zones at go-live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[n]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Organizations at go-live / +12 months / +36 months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[n / n / n]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Managed servers at go-live / +12 months / +36 months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[n / n / n]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GPU services planned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[yes/no — GPU models]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Object storage planned (TB, year 3)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[n TB]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Concurrent portal users (peak, year 3)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[n]</w:t>
            </w:r>
          </w:p>
        </w:tc>
      </w:tr>
      <w:tr>
        <w:tc>
          <w:tcPr>
            <w:tcW w:type="dxa" w:w="32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1F5F9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1"/>
                <w:szCs w:val="21"/>
              </w:rPr>
              <w:t xml:space="preserve">Platform HA topology desired at go-live</w:t>
            </w:r>
          </w:p>
        </w:tc>
        <w:tc>
          <w:tcPr>
            <w:tcW w:type="dxa" w:w="6546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1"/>
                <w:szCs w:val="21"/>
              </w:rPr>
              <w:t xml:space="preserve">[evaluation / small production / full HA]</w:t>
            </w:r>
          </w:p>
        </w:tc>
      </w:tr>
    </w:tbl>
    <w:sectPr>
      <w:footerReference w:type="default" r:id="rId7"/>
      <w:pgSz w:w="11906" w:h="16838" w:orient="portrait"/>
      <w:pgMar w:top="1296" w:right="1080" w:bottom="1296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[ORGANIZATION NAME] — RFP: Cloud Management Platform — page </w:t>
    </w:r>
    <w:r>
      <w:rPr>
        <w:rFonts w:ascii="Calibri" w:cs="Calibri" w:eastAsia="Calibri" w:hAnsi="Calibri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4748B"/>
        <w:sz w:val="16"/>
        <w:szCs w:val="16"/>
      </w:rPr>
      <w:t xml:space="preserve"> of </w:t>
    </w:r>
    <w:r>
      <w:rPr>
        <w:rFonts w:ascii="Calibri" w:cs="Calibri" w:eastAsia="Calibri" w:hAnsi="Calibri"/>
        <w:color w:val="64748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4155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2026-09-14T06:18:24.242Z</dcterms:created>
  <dcterms:modified xsi:type="dcterms:W3CDTF">2026-09-14T06:18:24.242Z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